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4C" w:rsidRDefault="0050134C" w:rsidP="0050134C">
      <w:pPr>
        <w:pStyle w:val="NormalWeb"/>
        <w:spacing w:before="0" w:beforeAutospacing="0" w:after="160" w:afterAutospacing="0" w:line="235" w:lineRule="atLeast"/>
        <w:rPr>
          <w:rFonts w:ascii="Calibri" w:hAnsi="Calibri" w:cs="Calibri"/>
          <w:color w:val="000000"/>
          <w:sz w:val="22"/>
          <w:szCs w:val="22"/>
        </w:rPr>
      </w:pPr>
      <w:bookmarkStart w:id="0" w:name="_GoBack"/>
      <w:r>
        <w:rPr>
          <w:rStyle w:val="Strong"/>
          <w:color w:val="000000"/>
        </w:rPr>
        <w:t>The trend of drug poisoning (drugs, stimulants and alcohol) in Semnan province had an upward trend since 2011 to 2016.</w:t>
      </w:r>
    </w:p>
    <w:bookmarkEnd w:id="0"/>
    <w:p w:rsidR="0050134C" w:rsidRDefault="0050134C" w:rsidP="0050134C">
      <w:pPr>
        <w:pStyle w:val="NormalWeb"/>
        <w:spacing w:before="0" w:beforeAutospacing="0" w:after="160" w:afterAutospacing="0" w:line="235" w:lineRule="atLeast"/>
        <w:rPr>
          <w:rFonts w:ascii="Calibri" w:hAnsi="Calibri" w:cs="Calibri"/>
          <w:color w:val="000000"/>
          <w:sz w:val="22"/>
          <w:szCs w:val="22"/>
        </w:rPr>
      </w:pPr>
      <w:r>
        <w:rPr>
          <w:color w:val="000000"/>
        </w:rPr>
        <w:t>One of the main tasks of all health systems is disease management. This study aimed to investigate the trend of drug poisoning clients (drugs, stimulants and alcohol) in Semnan province since 2011 to 2016 and its prediction until 1400. The number of referrals has increased from 400 in 1390 to 735 in 1395. The highest number of referrals in the years 1390-1396 was related to 56 cases in January 2011, 43 cases in October 2012, 59 cases in March 2015, 66 cases in April 2015 and 80 cases in January 2016. No regular seasonal pattern. The average monthly referral of poisoning to selected hospitals was predicted to be 58.2 until 1400. This study showed that the trend of clients with drugs has been upward during the study period and the modeling process for predicting showed that if there is no proper intervention, this trend will continue until 2020. Therefore, it is recommended that this policy be implemented. Otherwise, we should see more cases of addiction, suicide and cases of both of these diseases in society.</w:t>
      </w:r>
    </w:p>
    <w:p w:rsidR="0050134C" w:rsidRDefault="0050134C" w:rsidP="0050134C">
      <w:pPr>
        <w:pStyle w:val="NormalWeb"/>
        <w:spacing w:before="0" w:beforeAutospacing="0" w:after="160" w:afterAutospacing="0" w:line="235" w:lineRule="atLeast"/>
        <w:rPr>
          <w:rFonts w:ascii="Calibri" w:hAnsi="Calibri" w:cs="Calibri"/>
          <w:color w:val="000000"/>
          <w:sz w:val="22"/>
          <w:szCs w:val="22"/>
        </w:rPr>
      </w:pPr>
    </w:p>
    <w:p w:rsidR="0050134C" w:rsidRDefault="0050134C" w:rsidP="0050134C">
      <w:pPr>
        <w:pStyle w:val="NormalWeb"/>
        <w:spacing w:before="0" w:beforeAutospacing="0" w:after="160" w:afterAutospacing="0" w:line="235" w:lineRule="atLeast"/>
        <w:rPr>
          <w:rFonts w:ascii="Calibri" w:hAnsi="Calibri" w:cs="Calibri"/>
          <w:color w:val="000000"/>
          <w:sz w:val="22"/>
          <w:szCs w:val="22"/>
        </w:rPr>
      </w:pPr>
      <w:r>
        <w:rPr>
          <w:color w:val="000000"/>
        </w:rPr>
        <w:t>This article is published in the journal Alcoholism and Drug Addiction with the following link:</w:t>
      </w:r>
    </w:p>
    <w:p w:rsidR="0050134C" w:rsidRDefault="0050134C" w:rsidP="0050134C">
      <w:pPr>
        <w:pStyle w:val="NormalWeb"/>
        <w:spacing w:before="0" w:beforeAutospacing="0" w:after="160" w:afterAutospacing="0" w:line="235" w:lineRule="atLeast"/>
        <w:rPr>
          <w:rFonts w:ascii="Calibri" w:hAnsi="Calibri" w:cs="Calibri"/>
          <w:color w:val="000000"/>
          <w:sz w:val="22"/>
          <w:szCs w:val="22"/>
        </w:rPr>
      </w:pPr>
      <w:hyperlink r:id="rId4" w:history="1">
        <w:r>
          <w:rPr>
            <w:rStyle w:val="Hyperlink"/>
            <w:color w:val="0563C1"/>
          </w:rPr>
          <w:t>https://doi.org/10.5114/ain.2020.99871</w:t>
        </w:r>
      </w:hyperlink>
    </w:p>
    <w:p w:rsidR="00F3738E" w:rsidRDefault="0050134C"/>
    <w:sectPr w:rsidR="00F3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4C"/>
    <w:rsid w:val="0050134C"/>
    <w:rsid w:val="0095178D"/>
    <w:rsid w:val="00BE1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B6C500-BA14-4F3B-8489-3046084B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13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0134C"/>
    <w:rPr>
      <w:b/>
      <w:bCs/>
    </w:rPr>
  </w:style>
  <w:style w:type="character" w:styleId="Hyperlink">
    <w:name w:val="Hyperlink"/>
    <w:basedOn w:val="DefaultParagraphFont"/>
    <w:uiPriority w:val="99"/>
    <w:semiHidden/>
    <w:unhideWhenUsed/>
    <w:rsid w:val="005013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25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5114/ain.2020.998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سمیرا تقوی پور</dc:creator>
  <cp:keywords/>
  <dc:description/>
  <cp:lastModifiedBy>سمیرا تقوی پور</cp:lastModifiedBy>
  <cp:revision>1</cp:revision>
  <dcterms:created xsi:type="dcterms:W3CDTF">2022-05-14T07:57:00Z</dcterms:created>
  <dcterms:modified xsi:type="dcterms:W3CDTF">2022-05-14T07:57:00Z</dcterms:modified>
</cp:coreProperties>
</file>